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0C" w:rsidRPr="00DC7F0C" w:rsidRDefault="00DC7F0C" w:rsidP="00DC7F0C">
      <w:pPr>
        <w:spacing w:before="100" w:beforeAutospacing="1" w:after="100" w:afterAutospacing="1"/>
        <w:outlineLvl w:val="0"/>
        <w:rPr>
          <w:rFonts w:ascii="Times New Roman" w:eastAsia="Times New Roman" w:hAnsi="Times New Roman" w:cs="Times New Roman"/>
          <w:b/>
          <w:bCs/>
          <w:color w:val="FF0000"/>
          <w:kern w:val="36"/>
          <w:sz w:val="28"/>
          <w:szCs w:val="28"/>
        </w:rPr>
      </w:pPr>
      <w:r w:rsidRPr="00DC7F0C">
        <w:rPr>
          <w:rFonts w:ascii="Times New Roman" w:eastAsia="Times New Roman" w:hAnsi="Times New Roman" w:cs="Times New Roman"/>
          <w:b/>
          <w:bCs/>
          <w:color w:val="FF0000"/>
          <w:kern w:val="36"/>
          <w:sz w:val="28"/>
          <w:szCs w:val="28"/>
        </w:rPr>
        <w:t>Nghị định 125/2020/NĐ-CP: 03 điểm mới quan trọng trong xử phạt vi phạm về thuế, hóa đơn</w:t>
      </w:r>
    </w:p>
    <w:p w:rsidR="00DC7F0C" w:rsidRDefault="00DC7F0C" w:rsidP="00DC7F0C">
      <w:pPr>
        <w:spacing w:after="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14:17, 22/10/2020 </w:t>
      </w:r>
    </w:p>
    <w:p w:rsidR="00DC7F0C" w:rsidRDefault="00D24A60" w:rsidP="00DC7F0C">
      <w:pPr>
        <w:spacing w:after="0"/>
        <w:rPr>
          <w:rFonts w:ascii="Times New Roman" w:eastAsia="Times New Roman" w:hAnsi="Times New Roman" w:cs="Times New Roman"/>
          <w:szCs w:val="24"/>
        </w:rPr>
      </w:pPr>
      <w:hyperlink r:id="rId4" w:history="1">
        <w:r w:rsidR="00DC7F0C" w:rsidRPr="00457E52">
          <w:rPr>
            <w:rStyle w:val="Hyperlink"/>
            <w:rFonts w:ascii="Times New Roman" w:eastAsia="Times New Roman" w:hAnsi="Times New Roman" w:cs="Times New Roman"/>
            <w:szCs w:val="24"/>
          </w:rPr>
          <w:t>https://thukyluat.vn/news/phan-tich-chinh-sach/nghi-dinh-125-2020-nd-cp-03-diem-moi-quan-trong-trong-xu-phat-vi-pham-ve-thue-hoa-don-84853.html</w:t>
        </w:r>
      </w:hyperlink>
    </w:p>
    <w:p w:rsidR="00DC7F0C" w:rsidRPr="00DC7F0C" w:rsidRDefault="00DC7F0C" w:rsidP="00DC7F0C">
      <w:pPr>
        <w:spacing w:after="0"/>
        <w:rPr>
          <w:rFonts w:ascii="Times New Roman" w:eastAsia="Times New Roman" w:hAnsi="Times New Roman" w:cs="Times New Roman"/>
          <w:szCs w:val="24"/>
        </w:rPr>
      </w:pPr>
    </w:p>
    <w:p w:rsidR="00DC7F0C" w:rsidRPr="00DC7F0C" w:rsidRDefault="00DC7F0C" w:rsidP="00D24A60">
      <w:pPr>
        <w:spacing w:before="100" w:beforeAutospacing="1" w:after="100" w:afterAutospacing="1"/>
        <w:jc w:val="both"/>
        <w:rPr>
          <w:rFonts w:ascii="Times New Roman" w:eastAsia="Times New Roman" w:hAnsi="Times New Roman" w:cs="Times New Roman"/>
          <w:szCs w:val="24"/>
        </w:rPr>
      </w:pPr>
      <w:bookmarkStart w:id="0" w:name="_GoBack"/>
      <w:r w:rsidRPr="00DC7F0C">
        <w:rPr>
          <w:rFonts w:ascii="Times New Roman" w:eastAsia="Times New Roman" w:hAnsi="Times New Roman" w:cs="Times New Roman"/>
          <w:b/>
          <w:bCs/>
          <w:szCs w:val="24"/>
        </w:rPr>
        <w:t>Từ ngày 05/12/2020, Nghị định 125/2020/NĐ-CP sẽ thay thế các văn bản hiện hành quy định xử phạt vi phạm hành chính về thuế, hóa đơn. Sau đây là 03 điểm mới quan trọng của Nghị định 125/2020/NĐ-CP:</w:t>
      </w:r>
      <w:r w:rsidRPr="00DC7F0C">
        <w:rPr>
          <w:rFonts w:ascii="Times New Roman" w:eastAsia="Times New Roman" w:hAnsi="Times New Roman" w:cs="Times New Roman"/>
          <w:szCs w:val="24"/>
        </w:rPr>
        <w:t xml:space="preserve"> </w:t>
      </w:r>
    </w:p>
    <w:bookmarkEnd w:id="0"/>
    <w:p w:rsidR="00DC7F0C" w:rsidRPr="00DC7F0C" w:rsidRDefault="00DC7F0C" w:rsidP="00DC7F0C">
      <w:pPr>
        <w:spacing w:before="100" w:beforeAutospacing="1" w:after="100" w:afterAutospacing="1"/>
        <w:jc w:val="center"/>
        <w:rPr>
          <w:rFonts w:ascii="Times New Roman" w:eastAsia="Times New Roman" w:hAnsi="Times New Roman" w:cs="Times New Roman"/>
          <w:szCs w:val="24"/>
        </w:rPr>
      </w:pPr>
      <w:r w:rsidRPr="00DC7F0C">
        <w:rPr>
          <w:rFonts w:ascii="Times New Roman" w:eastAsia="Times New Roman" w:hAnsi="Times New Roman" w:cs="Times New Roman"/>
          <w:i/>
          <w:iCs/>
          <w:sz w:val="18"/>
          <w:szCs w:val="18"/>
        </w:rPr>
        <w:t>Nghị định 125/2020/NĐ-CP: 03 điểm mới quan trọng trong xử phạt vi phạm về thuế, hóa đơn</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5"/>
        <w:gridCol w:w="4875"/>
      </w:tblGrid>
      <w:tr w:rsidR="00DC7F0C" w:rsidRPr="00DC7F0C" w:rsidTr="0051724B">
        <w:trPr>
          <w:trHeight w:val="810"/>
          <w:tblCellSpacing w:w="0" w:type="dxa"/>
          <w:jc w:val="center"/>
        </w:trPr>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24A60" w:rsidP="00DC7F0C">
            <w:pPr>
              <w:spacing w:before="100" w:beforeAutospacing="1" w:after="100" w:afterAutospacing="1"/>
              <w:jc w:val="center"/>
              <w:rPr>
                <w:rFonts w:ascii="Times New Roman" w:eastAsia="Times New Roman" w:hAnsi="Times New Roman" w:cs="Times New Roman"/>
                <w:szCs w:val="24"/>
              </w:rPr>
            </w:pPr>
            <w:hyperlink r:id="rId5" w:tgtFrame="_blank" w:history="1">
              <w:r w:rsidR="00DC7F0C" w:rsidRPr="00DC7F0C">
                <w:rPr>
                  <w:rFonts w:ascii="Times New Roman" w:eastAsia="Times New Roman" w:hAnsi="Times New Roman" w:cs="Times New Roman"/>
                  <w:b/>
                  <w:bCs/>
                  <w:color w:val="0000FF"/>
                  <w:szCs w:val="24"/>
                  <w:u w:val="single"/>
                </w:rPr>
                <w:t>Nghị định 125/2020/NĐ-CP</w:t>
              </w:r>
            </w:hyperlink>
          </w:p>
        </w:tc>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24A60" w:rsidP="00DC7F0C">
            <w:pPr>
              <w:spacing w:before="100" w:beforeAutospacing="1" w:after="100" w:afterAutospacing="1"/>
              <w:jc w:val="center"/>
              <w:rPr>
                <w:rFonts w:ascii="Times New Roman" w:eastAsia="Times New Roman" w:hAnsi="Times New Roman" w:cs="Times New Roman"/>
                <w:szCs w:val="24"/>
              </w:rPr>
            </w:pPr>
            <w:hyperlink r:id="rId6" w:tgtFrame="_blank" w:history="1">
              <w:r w:rsidR="00DC7F0C" w:rsidRPr="00DC7F0C">
                <w:rPr>
                  <w:rFonts w:ascii="Times New Roman" w:eastAsia="Times New Roman" w:hAnsi="Times New Roman" w:cs="Times New Roman"/>
                  <w:b/>
                  <w:bCs/>
                  <w:color w:val="0000FF"/>
                  <w:szCs w:val="24"/>
                  <w:u w:val="single"/>
                </w:rPr>
                <w:t>Nghị định 129/2013/NĐ-CP</w:t>
              </w:r>
            </w:hyperlink>
          </w:p>
        </w:tc>
      </w:tr>
      <w:tr w:rsidR="00DC7F0C" w:rsidRPr="00DC7F0C" w:rsidTr="0051724B">
        <w:trPr>
          <w:trHeight w:val="555"/>
          <w:tblCellSpacing w:w="0" w:type="dxa"/>
          <w:jc w:val="center"/>
        </w:trPr>
        <w:tc>
          <w:tcPr>
            <w:tcW w:w="9240" w:type="dxa"/>
            <w:gridSpan w:val="2"/>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jc w:val="center"/>
              <w:rPr>
                <w:rFonts w:ascii="Times New Roman" w:eastAsia="Times New Roman" w:hAnsi="Times New Roman" w:cs="Times New Roman"/>
                <w:szCs w:val="24"/>
              </w:rPr>
            </w:pPr>
            <w:r w:rsidRPr="00DC7F0C">
              <w:rPr>
                <w:rFonts w:ascii="Times New Roman" w:eastAsia="Times New Roman" w:hAnsi="Times New Roman" w:cs="Times New Roman"/>
                <w:b/>
                <w:bCs/>
                <w:szCs w:val="24"/>
              </w:rPr>
              <w:t>1. Tăng mức phạt đối với hành vi thông đồng, bao che người nộp thuế trốn thuế</w:t>
            </w:r>
          </w:p>
        </w:tc>
      </w:tr>
      <w:tr w:rsidR="00DC7F0C" w:rsidRPr="00DC7F0C" w:rsidTr="0051724B">
        <w:trPr>
          <w:tblCellSpacing w:w="0" w:type="dxa"/>
          <w:jc w:val="center"/>
        </w:trPr>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Điều 19 quy định:</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Phạt tiền từ 6.000.000 - 16.000.000 đồng đối với hành vi thông đồng, bao che người nộp thuế trốn thuế, không thực hiện quyết định cưỡng chế hành chính thuế, trừ hành vi không trích chuyển tiền từ tài khoản của người nộp thuế quy định tại Điều 18 Nghị định này.</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Mức phạt này là mức phạt tiền áp dụng đối với tổ chức. Mức phạt đối với cá nhân sẽ bằng ½ mức phạt đối với tổ chức.</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=&gt; Mức phạt tối đa đối với cá nhân là 8.000.000 đồng, mức phạt tối đa đối với tổ chức là 16.000.000 đồng.</w:t>
            </w:r>
          </w:p>
        </w:tc>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Khoản 1 Điều 13 quy định:</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Tổ chức, cá nhân liên quan có hành vi thông đồng, bao che người nộp thuế trốn thuế, gian lận thuế, không thực hiện quyết định cưỡng chế hành chính thuế (trừ hành vi không trích chuyển tiền từ tài khoản của người nộp thuế quy định tại Điều 12 Nghị định này) thì tùy theo tính chất, mức độ vi phạm mà bị phạt tiền từ 2.500.000 đồng đến 5.000.000 đồng đối với cá nhân; phạt tiền từ 5.000.000 đồng đến 10.000.000 đồng đối với tổ chức. Trường hợp vi phạm có dấu hiệu tội phạm thì bị truy cứu trách nhiệm hình sự theo quy định của pháp luật.</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=&gt; Mức phạt tối đa đối với cá nhân là 5.000.000 đồng, mức phạt tối đa đối với tổ chức là 10.000.000 đồng</w:t>
            </w:r>
          </w:p>
        </w:tc>
      </w:tr>
      <w:tr w:rsidR="00DC7F0C" w:rsidRPr="00DC7F0C" w:rsidTr="00CE1241">
        <w:trPr>
          <w:tblCellSpacing w:w="0" w:type="dxa"/>
          <w:jc w:val="center"/>
        </w:trPr>
        <w:tc>
          <w:tcPr>
            <w:tcW w:w="9240" w:type="dxa"/>
            <w:gridSpan w:val="2"/>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Như vậy, đối với hành vi thông đồng, bao che người nộp thuế trốn thuế thì mức phạt của Nghị định 125/2020/NĐ-CP đã tăng lên gấp 1,6 lần so với mức phạt ở Nghị định 129/2013/NĐ-CP.</w:t>
            </w:r>
          </w:p>
        </w:tc>
      </w:tr>
      <w:tr w:rsidR="00DC7F0C" w:rsidRPr="00DC7F0C" w:rsidTr="00CE1241">
        <w:trPr>
          <w:trHeight w:val="540"/>
          <w:tblCellSpacing w:w="0" w:type="dxa"/>
          <w:jc w:val="center"/>
        </w:trPr>
        <w:tc>
          <w:tcPr>
            <w:tcW w:w="9240" w:type="dxa"/>
            <w:gridSpan w:val="2"/>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jc w:val="center"/>
              <w:rPr>
                <w:rFonts w:ascii="Times New Roman" w:eastAsia="Times New Roman" w:hAnsi="Times New Roman" w:cs="Times New Roman"/>
                <w:szCs w:val="24"/>
              </w:rPr>
            </w:pPr>
            <w:r w:rsidRPr="00DC7F0C">
              <w:rPr>
                <w:rFonts w:ascii="Times New Roman" w:eastAsia="Times New Roman" w:hAnsi="Times New Roman" w:cs="Times New Roman"/>
                <w:b/>
                <w:bCs/>
                <w:szCs w:val="24"/>
              </w:rPr>
              <w:t>2. Có thể bị phạt tiền 3 lần số tiền thuế trốn ngay từ lần đầu trốn thuế</w:t>
            </w:r>
          </w:p>
        </w:tc>
      </w:tr>
      <w:tr w:rsidR="00DC7F0C" w:rsidRPr="00DC7F0C" w:rsidTr="00CE1241">
        <w:trPr>
          <w:tblCellSpacing w:w="0" w:type="dxa"/>
          <w:jc w:val="center"/>
        </w:trPr>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Khoản 5 Điều 17 quy định:</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Phạt tiền 3 lần số tiền thuế đối với người nộp thuế thực hiện một trong các hành vi quy định tại khoản 1 Điều này có từ ba tình tiết tăng nặng trở lên.</w:t>
            </w:r>
          </w:p>
        </w:tc>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Khoản 5 Điều 11 quy định:</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Phạt tiền 3 lần tính trên số tiền thuế trốn đối với người nộp thuế khi có một trong các hành vi quy định tại Khoản 1 Điều này trong trường hợp </w:t>
            </w:r>
            <w:r w:rsidRPr="00DC7F0C">
              <w:rPr>
                <w:rFonts w:ascii="Times New Roman" w:eastAsia="Times New Roman" w:hAnsi="Times New Roman" w:cs="Times New Roman"/>
                <w:i/>
                <w:iCs/>
                <w:szCs w:val="24"/>
              </w:rPr>
              <w:t>vi phạm từ lần thứ hai mà có 2 tình tiết tăng nặng trở lên hoặc vi phạm lần thứ 3 có tình tiết tăng nặng hoặc vi phạm lần thứ tư trở đi.</w:t>
            </w:r>
          </w:p>
        </w:tc>
      </w:tr>
      <w:tr w:rsidR="00DC7F0C" w:rsidRPr="00DC7F0C" w:rsidTr="00CE1241">
        <w:trPr>
          <w:tblCellSpacing w:w="0" w:type="dxa"/>
          <w:jc w:val="center"/>
        </w:trPr>
        <w:tc>
          <w:tcPr>
            <w:tcW w:w="9240" w:type="dxa"/>
            <w:gridSpan w:val="2"/>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Nghị định 125/2020/NĐ-CP không quy định là vi phạm lần thứ bao nhiêu, vậy có thể hiểu là có thể bị phạt 3 lần số tiền thuế trốn ngay từ lần đầu tiên trốn thuế nếu có từ ba tình tiết tăng nặng trở lên.</w:t>
            </w:r>
          </w:p>
        </w:tc>
      </w:tr>
      <w:tr w:rsidR="00DC7F0C" w:rsidRPr="00DC7F0C" w:rsidTr="00CE1241">
        <w:trPr>
          <w:trHeight w:val="645"/>
          <w:tblCellSpacing w:w="0" w:type="dxa"/>
          <w:jc w:val="center"/>
        </w:trPr>
        <w:tc>
          <w:tcPr>
            <w:tcW w:w="9240" w:type="dxa"/>
            <w:gridSpan w:val="2"/>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jc w:val="center"/>
              <w:rPr>
                <w:rFonts w:ascii="Times New Roman" w:eastAsia="Times New Roman" w:hAnsi="Times New Roman" w:cs="Times New Roman"/>
                <w:szCs w:val="24"/>
              </w:rPr>
            </w:pPr>
            <w:r w:rsidRPr="00DC7F0C">
              <w:rPr>
                <w:rFonts w:ascii="Times New Roman" w:eastAsia="Times New Roman" w:hAnsi="Times New Roman" w:cs="Times New Roman"/>
                <w:b/>
                <w:bCs/>
                <w:szCs w:val="24"/>
              </w:rPr>
              <w:lastRenderedPageBreak/>
              <w:t>3. Đã có hình thức xử phạt khi hủy, tiêu hủy hóa đơn quá thời hạn</w:t>
            </w:r>
          </w:p>
        </w:tc>
      </w:tr>
      <w:tr w:rsidR="00DC7F0C" w:rsidRPr="00DC7F0C" w:rsidTr="00CE1241">
        <w:trPr>
          <w:tblCellSpacing w:w="0" w:type="dxa"/>
          <w:jc w:val="center"/>
        </w:trPr>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Điều 27 Nghị định 125/2020/NĐ-CP lần đầu tiên đã có chế tài xử phạt khi hủy, tiêu hủy hóa đơn quá thời hạn. Theo đó:</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1. Phạt cảnh cáo đối với hành vi hủy, tiêu hủy hóa đơn </w:t>
            </w:r>
            <w:r w:rsidRPr="00DC7F0C">
              <w:rPr>
                <w:rFonts w:ascii="Times New Roman" w:eastAsia="Times New Roman" w:hAnsi="Times New Roman" w:cs="Times New Roman"/>
                <w:i/>
                <w:iCs/>
                <w:szCs w:val="24"/>
              </w:rPr>
              <w:t>quá thời hạn từ 01 đến 05 ngày</w:t>
            </w:r>
            <w:r w:rsidRPr="00DC7F0C">
              <w:rPr>
                <w:rFonts w:ascii="Times New Roman" w:eastAsia="Times New Roman" w:hAnsi="Times New Roman" w:cs="Times New Roman"/>
                <w:szCs w:val="24"/>
              </w:rPr>
              <w:t xml:space="preserve"> </w:t>
            </w:r>
            <w:r w:rsidRPr="00DC7F0C">
              <w:rPr>
                <w:rFonts w:ascii="Times New Roman" w:eastAsia="Times New Roman" w:hAnsi="Times New Roman" w:cs="Times New Roman"/>
                <w:i/>
                <w:iCs/>
                <w:szCs w:val="24"/>
              </w:rPr>
              <w:t>làm việc</w:t>
            </w:r>
            <w:r w:rsidRPr="00DC7F0C">
              <w:rPr>
                <w:rFonts w:ascii="Times New Roman" w:eastAsia="Times New Roman" w:hAnsi="Times New Roman" w:cs="Times New Roman"/>
                <w:szCs w:val="24"/>
              </w:rPr>
              <w:t>, kể từ ngày hết thời hạn phải hủy, tiêu hủy hóa đơn theo quy định mà có tình tiết giảm nhẹ.</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2. Phạt tiền từ 2.000.000 – 4.000.000 đồng đối với hành vi hủy, tiêu hủy hóa đơn </w:t>
            </w:r>
            <w:r w:rsidRPr="00DC7F0C">
              <w:rPr>
                <w:rFonts w:ascii="Times New Roman" w:eastAsia="Times New Roman" w:hAnsi="Times New Roman" w:cs="Times New Roman"/>
                <w:i/>
                <w:iCs/>
                <w:szCs w:val="24"/>
              </w:rPr>
              <w:t>quá thời hạn từ 01 ngày đến 10 ngày làm việc</w:t>
            </w:r>
            <w:r w:rsidRPr="00DC7F0C">
              <w:rPr>
                <w:rFonts w:ascii="Times New Roman" w:eastAsia="Times New Roman" w:hAnsi="Times New Roman" w:cs="Times New Roman"/>
                <w:szCs w:val="24"/>
              </w:rPr>
              <w:t>, kể từ ngày hết thời hạn phải hủy, tiêu hủy hóa đơn theo quy định, trừ trường hợp quy định tại khoản 1 Điều này.</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3. Phạt tiền từ 4.000.000 – 8.000.000 đồng đói với hành vi hủy, tiêu hủy hóa đơn </w:t>
            </w:r>
            <w:r w:rsidRPr="00DC7F0C">
              <w:rPr>
                <w:rFonts w:ascii="Times New Roman" w:eastAsia="Times New Roman" w:hAnsi="Times New Roman" w:cs="Times New Roman"/>
                <w:i/>
                <w:iCs/>
                <w:szCs w:val="24"/>
              </w:rPr>
              <w:t>quá thời hạn từ 11 ngày làm việc trở lên</w:t>
            </w:r>
            <w:r w:rsidRPr="00DC7F0C">
              <w:rPr>
                <w:rFonts w:ascii="Times New Roman" w:eastAsia="Times New Roman" w:hAnsi="Times New Roman" w:cs="Times New Roman"/>
                <w:szCs w:val="24"/>
              </w:rPr>
              <w:t>, kể từ ngày hết thời hạn phải hủy, tiêu hủy hóa đơn theo quy định.</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Mà thời hạn hủy hóa đơn được ghi nhận ở điểm b khoản 2 Điều 29 </w:t>
            </w:r>
            <w:hyperlink r:id="rId7" w:tgtFrame="_blank" w:history="1">
              <w:r w:rsidRPr="00DC7F0C">
                <w:rPr>
                  <w:rFonts w:ascii="Times New Roman" w:eastAsia="Times New Roman" w:hAnsi="Times New Roman" w:cs="Times New Roman"/>
                  <w:color w:val="0000FF"/>
                  <w:szCs w:val="24"/>
                  <w:u w:val="single"/>
                </w:rPr>
                <w:t>Thông tư 39/2014/TT-BTC</w:t>
              </w:r>
            </w:hyperlink>
            <w:r w:rsidRPr="00DC7F0C">
              <w:rPr>
                <w:rFonts w:ascii="Times New Roman" w:eastAsia="Times New Roman" w:hAnsi="Times New Roman" w:cs="Times New Roman"/>
                <w:szCs w:val="24"/>
              </w:rPr>
              <w:t>:</w:t>
            </w:r>
          </w:p>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i/>
                <w:iCs/>
                <w:szCs w:val="24"/>
              </w:rPr>
              <w:t>“Tổ chức, hộ, cá nhân có hóa đơn không tiếp tục sử dụng phải thực hiện hủy hóa đơn. Thời hạn hủy hóa đơn chậm nhất là ba mươi (30) ngày, kể từ ngày thông báo với cơ quan thuế. Trường hợp cơ quan thuế đã thông báo hóa đơn hết giá trị sử dụng (trừ trường hợp thông báo do thực hiện biện pháp cưỡng chế nợ thuế), tổ chức, hộ, cá nhân phải hủy hóa đơn, thời hạn hủy hóa đơn chậm nhất là mười (10) ngày kể từ ngày cơ quan thuế thông báo hết giá trị sử dụng hoặc từ ngày tìm lại được hóa đơn đã mất”.</w:t>
            </w:r>
          </w:p>
        </w:tc>
        <w:tc>
          <w:tcPr>
            <w:tcW w:w="4620" w:type="dxa"/>
            <w:tcBorders>
              <w:top w:val="single" w:sz="4" w:space="0" w:color="auto"/>
              <w:left w:val="single" w:sz="4" w:space="0" w:color="auto"/>
              <w:bottom w:val="single" w:sz="4" w:space="0" w:color="auto"/>
              <w:right w:val="single" w:sz="4" w:space="0" w:color="auto"/>
            </w:tcBorders>
            <w:vAlign w:val="center"/>
            <w:hideMark/>
          </w:tcPr>
          <w:p w:rsidR="00DC7F0C" w:rsidRPr="00DC7F0C" w:rsidRDefault="00DC7F0C" w:rsidP="00DC7F0C">
            <w:pPr>
              <w:spacing w:before="100" w:beforeAutospacing="1" w:after="100" w:afterAutospacing="1"/>
              <w:jc w:val="center"/>
              <w:rPr>
                <w:rFonts w:ascii="Times New Roman" w:eastAsia="Times New Roman" w:hAnsi="Times New Roman" w:cs="Times New Roman"/>
                <w:szCs w:val="24"/>
              </w:rPr>
            </w:pPr>
            <w:r w:rsidRPr="00DC7F0C">
              <w:rPr>
                <w:rFonts w:ascii="Times New Roman" w:eastAsia="Times New Roman" w:hAnsi="Times New Roman" w:cs="Times New Roman"/>
                <w:szCs w:val="24"/>
              </w:rPr>
              <w:t>Không quy định</w:t>
            </w:r>
          </w:p>
        </w:tc>
      </w:tr>
      <w:tr w:rsidR="00DC7F0C" w:rsidRPr="00DC7F0C" w:rsidTr="00DC7F0C">
        <w:trPr>
          <w:tblCellSpacing w:w="0" w:type="dxa"/>
          <w:jc w:val="center"/>
        </w:trPr>
        <w:tc>
          <w:tcPr>
            <w:tcW w:w="9240" w:type="dxa"/>
            <w:gridSpan w:val="2"/>
            <w:tcBorders>
              <w:top w:val="outset" w:sz="6" w:space="0" w:color="auto"/>
              <w:left w:val="outset" w:sz="6" w:space="0" w:color="auto"/>
              <w:bottom w:val="outset" w:sz="6" w:space="0" w:color="auto"/>
              <w:right w:val="outset" w:sz="6" w:space="0" w:color="auto"/>
            </w:tcBorders>
            <w:vAlign w:val="center"/>
            <w:hideMark/>
          </w:tcPr>
          <w:p w:rsidR="00DC7F0C" w:rsidRPr="00DC7F0C" w:rsidRDefault="00DC7F0C" w:rsidP="00DC7F0C">
            <w:pPr>
              <w:spacing w:before="100" w:beforeAutospacing="1" w:after="100" w:afterAutospacing="1"/>
              <w:ind w:left="90"/>
              <w:rPr>
                <w:rFonts w:ascii="Times New Roman" w:eastAsia="Times New Roman" w:hAnsi="Times New Roman" w:cs="Times New Roman"/>
                <w:szCs w:val="24"/>
              </w:rPr>
            </w:pPr>
            <w:r w:rsidRPr="00DC7F0C">
              <w:rPr>
                <w:rFonts w:ascii="Times New Roman" w:eastAsia="Times New Roman" w:hAnsi="Times New Roman" w:cs="Times New Roman"/>
                <w:szCs w:val="24"/>
              </w:rPr>
              <w:t>Như vậy, Điều 27 Nghị định 125/2020/NĐ-CP sẽ giúp hạn chế những hành vi hủy, tiêu hủy hóa đơn quá thời hạn. Nếu vi phạm thời hạn hủy, tiêu hủy hóa đơn có thể sẽ bị phạt đến 8.000.000 đồng.</w:t>
            </w:r>
          </w:p>
        </w:tc>
      </w:tr>
    </w:tbl>
    <w:p w:rsidR="00DC7F0C" w:rsidRPr="00DC7F0C" w:rsidRDefault="00DC7F0C" w:rsidP="00DC7F0C">
      <w:pPr>
        <w:spacing w:before="100" w:beforeAutospacing="1" w:after="100" w:afterAutospacing="1"/>
        <w:rPr>
          <w:rFonts w:ascii="Times New Roman" w:eastAsia="Times New Roman" w:hAnsi="Times New Roman" w:cs="Times New Roman"/>
          <w:szCs w:val="24"/>
        </w:rPr>
      </w:pPr>
      <w:r w:rsidRPr="00DC7F0C">
        <w:rPr>
          <w:rFonts w:ascii="Times New Roman" w:eastAsia="Times New Roman" w:hAnsi="Times New Roman" w:cs="Times New Roman"/>
          <w:szCs w:val="24"/>
        </w:rPr>
        <w:t> </w:t>
      </w:r>
    </w:p>
    <w:p w:rsidR="00DC7F0C" w:rsidRPr="00DC7F0C" w:rsidRDefault="00DC7F0C" w:rsidP="00DC7F0C">
      <w:pPr>
        <w:spacing w:before="100" w:beforeAutospacing="1" w:after="100" w:afterAutospacing="1"/>
        <w:rPr>
          <w:rFonts w:ascii="Times New Roman" w:eastAsia="Times New Roman" w:hAnsi="Times New Roman" w:cs="Times New Roman"/>
          <w:szCs w:val="24"/>
        </w:rPr>
      </w:pPr>
      <w:r w:rsidRPr="00DC7F0C">
        <w:rPr>
          <w:rFonts w:ascii="Times New Roman" w:eastAsia="Times New Roman" w:hAnsi="Times New Roman" w:cs="Times New Roman"/>
          <w:szCs w:val="24"/>
        </w:rPr>
        <w:t xml:space="preserve">Trên đây là 03 điểm mới của </w:t>
      </w:r>
      <w:hyperlink r:id="rId8" w:tgtFrame="_blank" w:history="1">
        <w:r w:rsidRPr="00DC7F0C">
          <w:rPr>
            <w:rFonts w:ascii="Times New Roman" w:eastAsia="Times New Roman" w:hAnsi="Times New Roman" w:cs="Times New Roman"/>
            <w:color w:val="0000FF"/>
            <w:szCs w:val="24"/>
            <w:u w:val="single"/>
          </w:rPr>
          <w:t>Nghị định 125/2020/NĐ-CP</w:t>
        </w:r>
      </w:hyperlink>
      <w:r w:rsidRPr="00DC7F0C">
        <w:rPr>
          <w:rFonts w:ascii="Times New Roman" w:eastAsia="Times New Roman" w:hAnsi="Times New Roman" w:cs="Times New Roman"/>
          <w:szCs w:val="24"/>
        </w:rPr>
        <w:t> quy định xử phạt vi phạm hành chính về thuế, hóa đơn so với Nghị định 129/2013/NĐ-CP. Các chủ thể liên quan cần lưu ý để thực hiện đúng pháp luật.</w:t>
      </w:r>
    </w:p>
    <w:p w:rsidR="00DC7F0C" w:rsidRPr="00DC7F0C" w:rsidRDefault="00DC7F0C" w:rsidP="00DC7F0C">
      <w:pPr>
        <w:spacing w:before="100" w:beforeAutospacing="1" w:after="100" w:afterAutospacing="1"/>
        <w:jc w:val="right"/>
        <w:rPr>
          <w:rFonts w:ascii="Times New Roman" w:eastAsia="Times New Roman" w:hAnsi="Times New Roman" w:cs="Times New Roman"/>
          <w:szCs w:val="24"/>
        </w:rPr>
      </w:pPr>
      <w:r w:rsidRPr="00DC7F0C">
        <w:rPr>
          <w:rFonts w:ascii="Times New Roman" w:eastAsia="Times New Roman" w:hAnsi="Times New Roman" w:cs="Times New Roman"/>
          <w:b/>
          <w:bCs/>
          <w:szCs w:val="24"/>
        </w:rPr>
        <w:t>Phương Thanh</w:t>
      </w:r>
    </w:p>
    <w:p w:rsidR="008D7E08" w:rsidRDefault="008D7E08"/>
    <w:sectPr w:rsidR="008D7E08" w:rsidSect="00DC7F0C">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0C"/>
    <w:rsid w:val="0051724B"/>
    <w:rsid w:val="00805FC4"/>
    <w:rsid w:val="008D7E08"/>
    <w:rsid w:val="00CE1241"/>
    <w:rsid w:val="00D24A60"/>
    <w:rsid w:val="00D4364C"/>
    <w:rsid w:val="00DC7F0C"/>
    <w:rsid w:val="00E2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F1009-B471-4681-83E3-33E439D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7F0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7F0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DC7F0C"/>
    <w:rPr>
      <w:b/>
      <w:bCs/>
    </w:rPr>
  </w:style>
  <w:style w:type="character" w:styleId="Emphasis">
    <w:name w:val="Emphasis"/>
    <w:basedOn w:val="DefaultParagraphFont"/>
    <w:uiPriority w:val="20"/>
    <w:qFormat/>
    <w:rsid w:val="00DC7F0C"/>
    <w:rPr>
      <w:i/>
      <w:iCs/>
    </w:rPr>
  </w:style>
  <w:style w:type="character" w:styleId="Hyperlink">
    <w:name w:val="Hyperlink"/>
    <w:basedOn w:val="DefaultParagraphFont"/>
    <w:uiPriority w:val="99"/>
    <w:unhideWhenUsed/>
    <w:rsid w:val="00DC7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27637">
      <w:bodyDiv w:val="1"/>
      <w:marLeft w:val="0"/>
      <w:marRight w:val="0"/>
      <w:marTop w:val="0"/>
      <w:marBottom w:val="0"/>
      <w:divBdr>
        <w:top w:val="none" w:sz="0" w:space="0" w:color="auto"/>
        <w:left w:val="none" w:sz="0" w:space="0" w:color="auto"/>
        <w:bottom w:val="none" w:sz="0" w:space="0" w:color="auto"/>
        <w:right w:val="none" w:sz="0" w:space="0" w:color="auto"/>
      </w:divBdr>
      <w:divsChild>
        <w:div w:id="48577174">
          <w:marLeft w:val="0"/>
          <w:marRight w:val="0"/>
          <w:marTop w:val="0"/>
          <w:marBottom w:val="0"/>
          <w:divBdr>
            <w:top w:val="none" w:sz="0" w:space="0" w:color="auto"/>
            <w:left w:val="none" w:sz="0" w:space="0" w:color="auto"/>
            <w:bottom w:val="none" w:sz="0" w:space="0" w:color="auto"/>
            <w:right w:val="none" w:sz="0" w:space="0" w:color="auto"/>
          </w:divBdr>
        </w:div>
      </w:divsChild>
    </w:div>
    <w:div w:id="15438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5-2020-nd-cp-xu-phat-vi-pham-ve-thue-hoa-don-6f3de.html" TargetMode="External"/><Relationship Id="rId3" Type="http://schemas.openxmlformats.org/officeDocument/2006/relationships/webSettings" Target="webSettings.xml"/><Relationship Id="rId7" Type="http://schemas.openxmlformats.org/officeDocument/2006/relationships/hyperlink" Target="https://thukyluat.vn/vb/thong-tu-39-2014-tt-btc-huong-dan-51-2010-nd-cp-04-2014-nd-cp-hoa-don-ban-hang-hoa-dich-vu-37f4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9-2013-nd-cp-xu-phat-vphc-cuong-che-thi-hanh-thue-33470.html" TargetMode="External"/><Relationship Id="rId5" Type="http://schemas.openxmlformats.org/officeDocument/2006/relationships/hyperlink" Target="https://thukyluat.vn/vb/nghi-dinh-125-2020-nd-cp-xu-phat-vi-pham-ve-thue-hoa-don-6f3de.html" TargetMode="External"/><Relationship Id="rId10" Type="http://schemas.openxmlformats.org/officeDocument/2006/relationships/theme" Target="theme/theme1.xml"/><Relationship Id="rId4" Type="http://schemas.openxmlformats.org/officeDocument/2006/relationships/hyperlink" Target="https://thukyluat.vn/news/phan-tich-chinh-sach/nghi-dinh-125-2020-nd-cp-03-diem-moi-quan-trong-trong-xu-phat-vi-pham-ve-thue-hoa-don-84853.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2020-10-22T14:42:00Z</dcterms:created>
  <dcterms:modified xsi:type="dcterms:W3CDTF">2020-10-22T15:00:00Z</dcterms:modified>
</cp:coreProperties>
</file>